
<file path=[Content_Types].xml><?xml version="1.0" encoding="utf-8"?>
<Types xmlns="http://schemas.openxmlformats.org/package/2006/content-types">
  <Default Extension="xml" ContentType="application/xml"/>
  <Default Extension="jpeg" ContentType="image/jpeg"/>
  <Default Extension="xlsx" ContentType="application/vnd.openxmlformats-officedocument.spreadsheetml.sheet"/>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064" w:rsidRDefault="007B7064">
      <w:r>
        <w:t xml:space="preserve">1. </w:t>
      </w:r>
    </w:p>
    <w:tbl>
      <w:tblPr>
        <w:tblStyle w:val="TableGrid"/>
        <w:tblW w:w="0" w:type="auto"/>
        <w:tblInd w:w="108" w:type="dxa"/>
        <w:tblLook w:val="04A0" w:firstRow="1" w:lastRow="0" w:firstColumn="1" w:lastColumn="0" w:noHBand="0" w:noVBand="1"/>
      </w:tblPr>
      <w:tblGrid>
        <w:gridCol w:w="2129"/>
        <w:gridCol w:w="2129"/>
        <w:gridCol w:w="2129"/>
      </w:tblGrid>
      <w:tr w:rsidR="007B7064" w:rsidTr="007B7064">
        <w:tc>
          <w:tcPr>
            <w:tcW w:w="2129" w:type="dxa"/>
          </w:tcPr>
          <w:p w:rsidR="007B7064" w:rsidRDefault="007B7064">
            <w:r>
              <w:t>Element</w:t>
            </w:r>
          </w:p>
        </w:tc>
        <w:tc>
          <w:tcPr>
            <w:tcW w:w="2129" w:type="dxa"/>
          </w:tcPr>
          <w:p w:rsidR="007B7064" w:rsidRDefault="007B7064">
            <w:r>
              <w:t>Proton Number Z</w:t>
            </w:r>
          </w:p>
        </w:tc>
        <w:tc>
          <w:tcPr>
            <w:tcW w:w="2129" w:type="dxa"/>
          </w:tcPr>
          <w:p w:rsidR="007B7064" w:rsidRDefault="007B7064">
            <w:r>
              <w:t>First ionisation energy (</w:t>
            </w:r>
            <w:proofErr w:type="spellStart"/>
            <w:r>
              <w:t>kJmol</w:t>
            </w:r>
            <w:proofErr w:type="spellEnd"/>
            <w:r>
              <w:t xml:space="preserve"> -1)</w:t>
            </w:r>
          </w:p>
        </w:tc>
      </w:tr>
      <w:tr w:rsidR="007B7064" w:rsidTr="007B7064">
        <w:tc>
          <w:tcPr>
            <w:tcW w:w="2129" w:type="dxa"/>
          </w:tcPr>
          <w:p w:rsidR="007B7064" w:rsidRDefault="007B7064">
            <w:r>
              <w:t>Li</w:t>
            </w:r>
          </w:p>
        </w:tc>
        <w:tc>
          <w:tcPr>
            <w:tcW w:w="2129" w:type="dxa"/>
          </w:tcPr>
          <w:p w:rsidR="007B7064" w:rsidRDefault="007B7064">
            <w:r>
              <w:t>3</w:t>
            </w:r>
          </w:p>
        </w:tc>
        <w:tc>
          <w:tcPr>
            <w:tcW w:w="2129" w:type="dxa"/>
          </w:tcPr>
          <w:p w:rsidR="007B7064" w:rsidRDefault="007B7064">
            <w:r>
              <w:t>520</w:t>
            </w:r>
          </w:p>
        </w:tc>
      </w:tr>
      <w:tr w:rsidR="007B7064" w:rsidTr="007B7064">
        <w:tc>
          <w:tcPr>
            <w:tcW w:w="2129" w:type="dxa"/>
          </w:tcPr>
          <w:p w:rsidR="007B7064" w:rsidRDefault="007B7064">
            <w:r>
              <w:t>Na</w:t>
            </w:r>
          </w:p>
        </w:tc>
        <w:tc>
          <w:tcPr>
            <w:tcW w:w="2129" w:type="dxa"/>
          </w:tcPr>
          <w:p w:rsidR="007B7064" w:rsidRDefault="007B7064">
            <w:r>
              <w:t>11</w:t>
            </w:r>
          </w:p>
        </w:tc>
        <w:tc>
          <w:tcPr>
            <w:tcW w:w="2129" w:type="dxa"/>
          </w:tcPr>
          <w:p w:rsidR="007B7064" w:rsidRDefault="007B7064">
            <w:r>
              <w:t>496</w:t>
            </w:r>
          </w:p>
        </w:tc>
      </w:tr>
      <w:tr w:rsidR="007B7064" w:rsidTr="007B7064">
        <w:tc>
          <w:tcPr>
            <w:tcW w:w="2129" w:type="dxa"/>
          </w:tcPr>
          <w:p w:rsidR="007B7064" w:rsidRDefault="007B7064">
            <w:r>
              <w:t>K</w:t>
            </w:r>
          </w:p>
        </w:tc>
        <w:tc>
          <w:tcPr>
            <w:tcW w:w="2129" w:type="dxa"/>
          </w:tcPr>
          <w:p w:rsidR="007B7064" w:rsidRDefault="007B7064">
            <w:r>
              <w:t>19</w:t>
            </w:r>
          </w:p>
        </w:tc>
        <w:tc>
          <w:tcPr>
            <w:tcW w:w="2129" w:type="dxa"/>
          </w:tcPr>
          <w:p w:rsidR="007B7064" w:rsidRDefault="007B7064">
            <w:r>
              <w:t>419</w:t>
            </w:r>
          </w:p>
        </w:tc>
      </w:tr>
      <w:tr w:rsidR="007B7064" w:rsidTr="007B7064">
        <w:tc>
          <w:tcPr>
            <w:tcW w:w="2129" w:type="dxa"/>
          </w:tcPr>
          <w:p w:rsidR="007B7064" w:rsidRDefault="007B7064">
            <w:proofErr w:type="spellStart"/>
            <w:r>
              <w:t>Rb</w:t>
            </w:r>
            <w:proofErr w:type="spellEnd"/>
          </w:p>
        </w:tc>
        <w:tc>
          <w:tcPr>
            <w:tcW w:w="2129" w:type="dxa"/>
          </w:tcPr>
          <w:p w:rsidR="007B7064" w:rsidRDefault="007B7064">
            <w:r>
              <w:t>37</w:t>
            </w:r>
          </w:p>
        </w:tc>
        <w:tc>
          <w:tcPr>
            <w:tcW w:w="2129" w:type="dxa"/>
          </w:tcPr>
          <w:p w:rsidR="007B7064" w:rsidRDefault="007B7064">
            <w:r>
              <w:t>403</w:t>
            </w:r>
          </w:p>
        </w:tc>
      </w:tr>
      <w:tr w:rsidR="007B7064" w:rsidTr="007B7064">
        <w:tc>
          <w:tcPr>
            <w:tcW w:w="2129" w:type="dxa"/>
          </w:tcPr>
          <w:p w:rsidR="007B7064" w:rsidRDefault="007B7064">
            <w:r>
              <w:t>Cs</w:t>
            </w:r>
          </w:p>
        </w:tc>
        <w:tc>
          <w:tcPr>
            <w:tcW w:w="2129" w:type="dxa"/>
          </w:tcPr>
          <w:p w:rsidR="007B7064" w:rsidRDefault="007B7064">
            <w:r>
              <w:t>55</w:t>
            </w:r>
          </w:p>
        </w:tc>
        <w:tc>
          <w:tcPr>
            <w:tcW w:w="2129" w:type="dxa"/>
          </w:tcPr>
          <w:p w:rsidR="007B7064" w:rsidRDefault="007B7064">
            <w:r>
              <w:t>376</w:t>
            </w:r>
          </w:p>
        </w:tc>
      </w:tr>
    </w:tbl>
    <w:p w:rsidR="0065192A" w:rsidRDefault="0065192A"/>
    <w:p w:rsidR="007B7064" w:rsidRDefault="00E8779D">
      <w:r>
        <w:t>2.</w:t>
      </w:r>
    </w:p>
    <w:p w:rsidR="007B7064" w:rsidRDefault="00E8779D">
      <w:r>
        <w:rPr>
          <w:noProof/>
          <w:lang w:val="en-US"/>
        </w:rPr>
        <w:drawing>
          <wp:anchor distT="0" distB="0" distL="114300" distR="114300" simplePos="0" relativeHeight="251658240" behindDoc="0" locked="0" layoutInCell="1" allowOverlap="1" wp14:anchorId="1A053A5D" wp14:editId="559CD388">
            <wp:simplePos x="0" y="0"/>
            <wp:positionH relativeFrom="column">
              <wp:posOffset>0</wp:posOffset>
            </wp:positionH>
            <wp:positionV relativeFrom="paragraph">
              <wp:posOffset>111760</wp:posOffset>
            </wp:positionV>
            <wp:extent cx="5943600" cy="3771900"/>
            <wp:effectExtent l="0" t="0" r="25400" b="12700"/>
            <wp:wrapTight wrapText="bothSides">
              <wp:wrapPolygon edited="0">
                <wp:start x="0" y="0"/>
                <wp:lineTo x="0" y="21527"/>
                <wp:lineTo x="21600" y="21527"/>
                <wp:lineTo x="21600" y="0"/>
                <wp:lineTo x="0" y="0"/>
              </wp:wrapPolygon>
            </wp:wrapTight>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14:sizeRelH relativeFrom="page">
              <wp14:pctWidth>0</wp14:pctWidth>
            </wp14:sizeRelH>
            <wp14:sizeRelV relativeFrom="page">
              <wp14:pctHeight>0</wp14:pctHeight>
            </wp14:sizeRelV>
          </wp:anchor>
        </w:drawing>
      </w:r>
    </w:p>
    <w:p w:rsidR="007B7064" w:rsidRDefault="007B7064">
      <w:r>
        <w:t xml:space="preserve">3. As you move down, you can notice that the first ionisation energy decreases.  This is because the as you move down the periodic table vertically, another layer of outer shell is added therefore the atom itself grows larger. Therefore the distance between the nucleus and the outer electrons are larger meaning that they are easier to </w:t>
      </w:r>
      <w:r w:rsidR="00E8779D">
        <w:t>remove, which leads to fall of ionisation energy.</w:t>
      </w:r>
    </w:p>
    <w:p w:rsidR="007B7064" w:rsidRDefault="007B7064"/>
    <w:p w:rsidR="00E8779D" w:rsidRDefault="00E8779D"/>
    <w:p w:rsidR="00E8779D" w:rsidRDefault="00E8779D"/>
    <w:p w:rsidR="00E8779D" w:rsidRDefault="00E8779D"/>
    <w:p w:rsidR="00E8779D" w:rsidRDefault="00E8779D"/>
    <w:p w:rsidR="00E8779D" w:rsidRDefault="00E8779D"/>
    <w:p w:rsidR="00E8779D" w:rsidRDefault="00E8779D"/>
    <w:p w:rsidR="00E8779D" w:rsidRDefault="00E8779D"/>
    <w:p w:rsidR="00E8779D" w:rsidRDefault="00E8779D"/>
    <w:p w:rsidR="00E8779D" w:rsidRDefault="00E8779D"/>
    <w:p w:rsidR="00E8779D" w:rsidRDefault="00E8779D"/>
    <w:p w:rsidR="00E8779D" w:rsidRDefault="00E8779D">
      <w:r>
        <w:rPr>
          <w:noProof/>
          <w:lang w:val="en-US"/>
        </w:rPr>
        <w:lastRenderedPageBreak/>
        <w:drawing>
          <wp:anchor distT="0" distB="0" distL="114300" distR="114300" simplePos="0" relativeHeight="251659264" behindDoc="0" locked="0" layoutInCell="1" allowOverlap="1" wp14:anchorId="5EB0E839" wp14:editId="43C9CC9E">
            <wp:simplePos x="0" y="0"/>
            <wp:positionH relativeFrom="column">
              <wp:posOffset>0</wp:posOffset>
            </wp:positionH>
            <wp:positionV relativeFrom="paragraph">
              <wp:posOffset>228600</wp:posOffset>
            </wp:positionV>
            <wp:extent cx="5829300" cy="3543300"/>
            <wp:effectExtent l="0" t="0" r="12700" b="12700"/>
            <wp:wrapTight wrapText="bothSides">
              <wp:wrapPolygon edited="0">
                <wp:start x="0" y="0"/>
                <wp:lineTo x="0" y="21523"/>
                <wp:lineTo x="21553" y="21523"/>
                <wp:lineTo x="21553" y="0"/>
                <wp:lineTo x="0" y="0"/>
              </wp:wrapPolygon>
            </wp:wrapTight>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r>
        <w:t>4.</w:t>
      </w:r>
    </w:p>
    <w:p w:rsidR="00E8779D" w:rsidRDefault="00E8779D"/>
    <w:p w:rsidR="00E8779D" w:rsidRDefault="00E8779D">
      <w:r>
        <w:t xml:space="preserve"> 5.  The atomic radius increases.</w:t>
      </w:r>
    </w:p>
    <w:p w:rsidR="00E8779D" w:rsidRDefault="00E8779D"/>
    <w:p w:rsidR="00E8779D" w:rsidRDefault="00E8779D">
      <w:r>
        <w:t xml:space="preserve">6.  </w:t>
      </w:r>
      <w:r w:rsidR="00390725">
        <w:t>This is because as you go down the periodic table vertically, the atomic radius increases meaning that the distance between the nucleus and the outer electrons are further apart. Therefore, the electrons are easier to break away.</w:t>
      </w:r>
    </w:p>
    <w:p w:rsidR="00E948DD" w:rsidRDefault="00E948DD">
      <w:pPr>
        <w:rPr>
          <w:rFonts w:cs="Times"/>
          <w:lang w:val="en-US"/>
        </w:rPr>
      </w:pPr>
      <w:proofErr w:type="gramStart"/>
      <w:r w:rsidRPr="00E948DD">
        <w:rPr>
          <w:rFonts w:cs="Times"/>
          <w:lang w:val="en-US"/>
        </w:rPr>
        <w:t>AgNO</w:t>
      </w:r>
      <w:r w:rsidRPr="00E948DD">
        <w:rPr>
          <w:rFonts w:cs="Times"/>
          <w:vertAlign w:val="subscript"/>
          <w:lang w:val="en-US"/>
        </w:rPr>
        <w:t>3</w:t>
      </w:r>
      <w:r w:rsidRPr="00E948DD">
        <w:rPr>
          <w:rFonts w:cs="Times"/>
          <w:lang w:val="en-US"/>
        </w:rPr>
        <w:t>(</w:t>
      </w:r>
      <w:proofErr w:type="spellStart"/>
      <w:proofErr w:type="gramEnd"/>
      <w:r w:rsidRPr="00E948DD">
        <w:rPr>
          <w:rFonts w:cs="Times"/>
          <w:lang w:val="en-US"/>
        </w:rPr>
        <w:t>aq</w:t>
      </w:r>
      <w:proofErr w:type="spellEnd"/>
      <w:r w:rsidRPr="00E948DD">
        <w:rPr>
          <w:rFonts w:cs="Times"/>
          <w:lang w:val="en-US"/>
        </w:rPr>
        <w:t xml:space="preserve">) + </w:t>
      </w:r>
      <w:proofErr w:type="spellStart"/>
      <w:r w:rsidRPr="00E948DD">
        <w:rPr>
          <w:rFonts w:cs="Times"/>
          <w:lang w:val="en-US"/>
        </w:rPr>
        <w:t>NaCl</w:t>
      </w:r>
      <w:proofErr w:type="spellEnd"/>
      <w:r w:rsidRPr="00E948DD">
        <w:rPr>
          <w:rFonts w:cs="Times"/>
          <w:lang w:val="en-US"/>
        </w:rPr>
        <w:t>(</w:t>
      </w:r>
      <w:proofErr w:type="spellStart"/>
      <w:r w:rsidRPr="00E948DD">
        <w:rPr>
          <w:rFonts w:cs="Times"/>
          <w:lang w:val="en-US"/>
        </w:rPr>
        <w:t>aq</w:t>
      </w:r>
      <w:proofErr w:type="spellEnd"/>
      <w:r w:rsidRPr="00E948DD">
        <w:rPr>
          <w:rFonts w:cs="Times"/>
          <w:lang w:val="en-US"/>
        </w:rPr>
        <w:t xml:space="preserve">) --&gt; </w:t>
      </w:r>
      <w:proofErr w:type="spellStart"/>
      <w:r w:rsidRPr="00E948DD">
        <w:rPr>
          <w:rFonts w:cs="Times"/>
          <w:lang w:val="en-US"/>
        </w:rPr>
        <w:t>AgCl</w:t>
      </w:r>
      <w:proofErr w:type="spellEnd"/>
      <w:r w:rsidRPr="00E948DD">
        <w:rPr>
          <w:rFonts w:cs="Times"/>
          <w:lang w:val="en-US"/>
        </w:rPr>
        <w:t>(s) + NaNO</w:t>
      </w:r>
      <w:r w:rsidRPr="00E948DD">
        <w:rPr>
          <w:rFonts w:cs="Times"/>
          <w:vertAlign w:val="subscript"/>
          <w:lang w:val="en-US"/>
        </w:rPr>
        <w:t>3</w:t>
      </w:r>
      <w:r w:rsidRPr="00E948DD">
        <w:rPr>
          <w:rFonts w:cs="Times"/>
          <w:lang w:val="en-US"/>
        </w:rPr>
        <w:t>(</w:t>
      </w:r>
      <w:proofErr w:type="spellStart"/>
      <w:r w:rsidRPr="00E948DD">
        <w:rPr>
          <w:rFonts w:cs="Times"/>
          <w:lang w:val="en-US"/>
        </w:rPr>
        <w:t>aq</w:t>
      </w:r>
      <w:proofErr w:type="spellEnd"/>
      <w:r w:rsidRPr="00E948DD">
        <w:rPr>
          <w:rFonts w:cs="Times"/>
          <w:lang w:val="en-US"/>
        </w:rPr>
        <w:t>)</w:t>
      </w:r>
    </w:p>
    <w:p w:rsidR="00E948DD" w:rsidRDefault="00E948DD">
      <w:pPr>
        <w:rPr>
          <w:rFonts w:cs="Times"/>
          <w:lang w:val="en-US"/>
        </w:rPr>
      </w:pPr>
      <w:r>
        <w:rPr>
          <w:rFonts w:cs="Times"/>
          <w:lang w:val="en-US"/>
        </w:rPr>
        <w:t xml:space="preserve">Both of the solutions are colourless therefore adding these two colourless solutions together, creates a white precipitation. </w:t>
      </w:r>
    </w:p>
    <w:p w:rsidR="00E948DD" w:rsidRDefault="00E948DD">
      <w:pPr>
        <w:rPr>
          <w:rFonts w:cs="Times"/>
          <w:lang w:val="en-US"/>
        </w:rPr>
      </w:pPr>
    </w:p>
    <w:p w:rsidR="00E948DD" w:rsidRDefault="00E948DD">
      <w:pPr>
        <w:rPr>
          <w:rFonts w:cs="Times"/>
          <w:lang w:val="en-US"/>
        </w:rPr>
      </w:pPr>
      <w:r>
        <w:rPr>
          <w:rFonts w:cs="Times"/>
          <w:lang w:val="en-US"/>
        </w:rPr>
        <w:t>7. The trend that is shown in Group 2 is similar to Group 1. This is because in the atomic radius increase as you go down the group and that also applies for Group 2 elements but instead the atomic radius will be less compared to the atomic radius in Group 1. For the first ionisation energy is also same compared to Group 1 but in this case, the first ionisation energy is larger compared to Group 1. This occur due to the outer shells of Group 2 elements have 2 electrons in the outermost shell when the Group 1 elements have only 1 electrons in the outermost shell.</w:t>
      </w:r>
    </w:p>
    <w:p w:rsidR="00E948DD" w:rsidRDefault="00E948DD">
      <w:pPr>
        <w:rPr>
          <w:rFonts w:cs="Times"/>
          <w:lang w:val="en-US"/>
        </w:rPr>
      </w:pPr>
    </w:p>
    <w:p w:rsidR="00E948DD" w:rsidRDefault="00E948DD">
      <w:pPr>
        <w:rPr>
          <w:rFonts w:cs="Times"/>
          <w:lang w:val="en-US"/>
        </w:rPr>
      </w:pPr>
    </w:p>
    <w:p w:rsidR="00E948DD" w:rsidRDefault="00E948DD">
      <w:pPr>
        <w:rPr>
          <w:rFonts w:cs="Times"/>
          <w:lang w:val="en-US"/>
        </w:rPr>
      </w:pPr>
    </w:p>
    <w:p w:rsidR="00E948DD" w:rsidRDefault="00E948DD">
      <w:pPr>
        <w:rPr>
          <w:rFonts w:cs="Times"/>
          <w:lang w:val="en-US"/>
        </w:rPr>
      </w:pPr>
    </w:p>
    <w:p w:rsidR="00E948DD" w:rsidRDefault="00E948DD">
      <w:pPr>
        <w:rPr>
          <w:rFonts w:cs="Times"/>
          <w:lang w:val="en-US"/>
        </w:rPr>
      </w:pPr>
    </w:p>
    <w:p w:rsidR="00E948DD" w:rsidRDefault="00E948DD">
      <w:pPr>
        <w:rPr>
          <w:rFonts w:cs="Times"/>
          <w:lang w:val="en-US"/>
        </w:rPr>
      </w:pPr>
    </w:p>
    <w:p w:rsidR="00E948DD" w:rsidRDefault="00E948DD">
      <w:pPr>
        <w:rPr>
          <w:rFonts w:cs="Times"/>
          <w:lang w:val="en-US"/>
        </w:rPr>
      </w:pPr>
    </w:p>
    <w:p w:rsidR="00E948DD" w:rsidRDefault="00E948DD">
      <w:pPr>
        <w:rPr>
          <w:rFonts w:cs="Times"/>
          <w:lang w:val="en-US"/>
        </w:rPr>
      </w:pPr>
    </w:p>
    <w:p w:rsidR="00E948DD" w:rsidRDefault="00E948DD">
      <w:pPr>
        <w:rPr>
          <w:rFonts w:cs="Times"/>
          <w:lang w:val="en-US"/>
        </w:rPr>
      </w:pPr>
    </w:p>
    <w:p w:rsidR="00E948DD" w:rsidRDefault="00E948DD">
      <w:pPr>
        <w:rPr>
          <w:rFonts w:cs="Times"/>
          <w:lang w:val="en-US"/>
        </w:rPr>
      </w:pPr>
      <w:r>
        <w:rPr>
          <w:rFonts w:cs="Times"/>
          <w:lang w:val="en-US"/>
        </w:rPr>
        <w:t xml:space="preserve">8. </w:t>
      </w:r>
    </w:p>
    <w:tbl>
      <w:tblPr>
        <w:tblStyle w:val="TableGrid"/>
        <w:tblW w:w="0" w:type="auto"/>
        <w:tblLook w:val="04A0" w:firstRow="1" w:lastRow="0" w:firstColumn="1" w:lastColumn="0" w:noHBand="0" w:noVBand="1"/>
      </w:tblPr>
      <w:tblGrid>
        <w:gridCol w:w="2840"/>
        <w:gridCol w:w="2839"/>
        <w:gridCol w:w="2837"/>
      </w:tblGrid>
      <w:tr w:rsidR="00E948DD" w:rsidTr="00E948DD">
        <w:tc>
          <w:tcPr>
            <w:tcW w:w="2840" w:type="dxa"/>
          </w:tcPr>
          <w:p w:rsidR="00E948DD" w:rsidRDefault="00E948DD" w:rsidP="00E948DD">
            <w:pPr>
              <w:rPr>
                <w:rFonts w:cs="Times"/>
                <w:lang w:val="en-US"/>
              </w:rPr>
            </w:pPr>
            <w:r>
              <w:rPr>
                <w:rFonts w:cs="Times"/>
                <w:lang w:val="en-US"/>
              </w:rPr>
              <w:t>Elements</w:t>
            </w:r>
          </w:p>
        </w:tc>
        <w:tc>
          <w:tcPr>
            <w:tcW w:w="2838" w:type="dxa"/>
          </w:tcPr>
          <w:p w:rsidR="00E948DD" w:rsidRDefault="00E948DD" w:rsidP="00E948DD">
            <w:pPr>
              <w:rPr>
                <w:rFonts w:cs="Times"/>
                <w:lang w:val="en-US"/>
              </w:rPr>
            </w:pPr>
            <w:r>
              <w:rPr>
                <w:rFonts w:cs="Times"/>
                <w:lang w:val="en-US"/>
              </w:rPr>
              <w:t>Proton number 2</w:t>
            </w:r>
          </w:p>
        </w:tc>
        <w:tc>
          <w:tcPr>
            <w:tcW w:w="2838" w:type="dxa"/>
          </w:tcPr>
          <w:p w:rsidR="00E948DD" w:rsidRDefault="00E948DD" w:rsidP="00E948DD">
            <w:pPr>
              <w:rPr>
                <w:rFonts w:cs="Times"/>
                <w:lang w:val="en-US"/>
              </w:rPr>
            </w:pPr>
            <w:r>
              <w:rPr>
                <w:rFonts w:cs="Times"/>
                <w:lang w:val="en-US"/>
              </w:rPr>
              <w:t>First ionisation energy (kJmol-1)</w:t>
            </w:r>
          </w:p>
        </w:tc>
      </w:tr>
      <w:tr w:rsidR="00E948DD" w:rsidTr="00E948DD">
        <w:tc>
          <w:tcPr>
            <w:tcW w:w="2840" w:type="dxa"/>
          </w:tcPr>
          <w:p w:rsidR="00E948DD" w:rsidRDefault="00E948DD" w:rsidP="00E948DD">
            <w:pPr>
              <w:rPr>
                <w:rFonts w:cs="Times"/>
                <w:lang w:val="en-US"/>
              </w:rPr>
            </w:pPr>
            <w:r>
              <w:rPr>
                <w:rFonts w:cs="Times"/>
                <w:lang w:val="en-US"/>
              </w:rPr>
              <w:t>Li</w:t>
            </w:r>
          </w:p>
        </w:tc>
        <w:tc>
          <w:tcPr>
            <w:tcW w:w="2838" w:type="dxa"/>
          </w:tcPr>
          <w:p w:rsidR="00E948DD" w:rsidRDefault="00E948DD" w:rsidP="00E948DD">
            <w:pPr>
              <w:rPr>
                <w:rFonts w:cs="Times"/>
                <w:lang w:val="en-US"/>
              </w:rPr>
            </w:pPr>
            <w:r>
              <w:rPr>
                <w:rFonts w:cs="Times"/>
                <w:lang w:val="en-US"/>
              </w:rPr>
              <w:t>3</w:t>
            </w:r>
          </w:p>
        </w:tc>
        <w:tc>
          <w:tcPr>
            <w:tcW w:w="2838" w:type="dxa"/>
          </w:tcPr>
          <w:p w:rsidR="00E948DD" w:rsidRDefault="00E948DD" w:rsidP="00E948DD">
            <w:pPr>
              <w:rPr>
                <w:rFonts w:cs="Times"/>
                <w:lang w:val="en-US"/>
              </w:rPr>
            </w:pPr>
            <w:r>
              <w:rPr>
                <w:rFonts w:cs="Times"/>
                <w:lang w:val="en-US"/>
              </w:rPr>
              <w:t>520</w:t>
            </w:r>
          </w:p>
        </w:tc>
      </w:tr>
      <w:tr w:rsidR="00E948DD" w:rsidTr="00E948DD">
        <w:tc>
          <w:tcPr>
            <w:tcW w:w="2840" w:type="dxa"/>
          </w:tcPr>
          <w:p w:rsidR="00E948DD" w:rsidRDefault="00E948DD" w:rsidP="00E948DD">
            <w:pPr>
              <w:rPr>
                <w:rFonts w:cs="Times"/>
                <w:lang w:val="en-US"/>
              </w:rPr>
            </w:pPr>
            <w:r>
              <w:rPr>
                <w:rFonts w:cs="Times"/>
                <w:lang w:val="en-US"/>
              </w:rPr>
              <w:t>Be</w:t>
            </w:r>
          </w:p>
        </w:tc>
        <w:tc>
          <w:tcPr>
            <w:tcW w:w="2838" w:type="dxa"/>
          </w:tcPr>
          <w:p w:rsidR="00E948DD" w:rsidRDefault="0012086F" w:rsidP="00E948DD">
            <w:pPr>
              <w:rPr>
                <w:rFonts w:cs="Times"/>
                <w:lang w:val="en-US"/>
              </w:rPr>
            </w:pPr>
            <w:r>
              <w:rPr>
                <w:rFonts w:cs="Times"/>
                <w:lang w:val="en-US"/>
              </w:rPr>
              <w:t>4</w:t>
            </w:r>
          </w:p>
        </w:tc>
        <w:tc>
          <w:tcPr>
            <w:tcW w:w="2838" w:type="dxa"/>
          </w:tcPr>
          <w:p w:rsidR="00E948DD" w:rsidRDefault="0012086F" w:rsidP="00E948DD">
            <w:pPr>
              <w:rPr>
                <w:rFonts w:cs="Times"/>
                <w:lang w:val="en-US"/>
              </w:rPr>
            </w:pPr>
            <w:r>
              <w:rPr>
                <w:rFonts w:cs="Times"/>
                <w:lang w:val="en-US"/>
              </w:rPr>
              <w:t>900</w:t>
            </w:r>
          </w:p>
        </w:tc>
      </w:tr>
      <w:tr w:rsidR="00E948DD" w:rsidTr="00E948DD">
        <w:tc>
          <w:tcPr>
            <w:tcW w:w="2840" w:type="dxa"/>
          </w:tcPr>
          <w:p w:rsidR="00E948DD" w:rsidRDefault="00E948DD" w:rsidP="00E948DD">
            <w:pPr>
              <w:rPr>
                <w:rFonts w:cs="Times"/>
                <w:lang w:val="en-US"/>
              </w:rPr>
            </w:pPr>
            <w:r>
              <w:rPr>
                <w:rFonts w:cs="Times"/>
                <w:lang w:val="en-US"/>
              </w:rPr>
              <w:t>B</w:t>
            </w:r>
          </w:p>
        </w:tc>
        <w:tc>
          <w:tcPr>
            <w:tcW w:w="2838" w:type="dxa"/>
          </w:tcPr>
          <w:p w:rsidR="00E948DD" w:rsidRDefault="0012086F" w:rsidP="00E948DD">
            <w:pPr>
              <w:rPr>
                <w:rFonts w:cs="Times"/>
                <w:lang w:val="en-US"/>
              </w:rPr>
            </w:pPr>
            <w:r>
              <w:rPr>
                <w:rFonts w:cs="Times"/>
                <w:lang w:val="en-US"/>
              </w:rPr>
              <w:t>5</w:t>
            </w:r>
          </w:p>
        </w:tc>
        <w:tc>
          <w:tcPr>
            <w:tcW w:w="2838" w:type="dxa"/>
          </w:tcPr>
          <w:p w:rsidR="00E948DD" w:rsidRDefault="0012086F" w:rsidP="00E948DD">
            <w:pPr>
              <w:rPr>
                <w:rFonts w:cs="Times"/>
                <w:lang w:val="en-US"/>
              </w:rPr>
            </w:pPr>
            <w:r>
              <w:rPr>
                <w:rFonts w:cs="Times"/>
                <w:lang w:val="en-US"/>
              </w:rPr>
              <w:t>801</w:t>
            </w:r>
          </w:p>
        </w:tc>
      </w:tr>
      <w:tr w:rsidR="00E948DD" w:rsidTr="00E948DD">
        <w:tc>
          <w:tcPr>
            <w:tcW w:w="2840" w:type="dxa"/>
          </w:tcPr>
          <w:p w:rsidR="00E948DD" w:rsidRDefault="00E948DD" w:rsidP="00E948DD">
            <w:pPr>
              <w:rPr>
                <w:rFonts w:cs="Times"/>
                <w:lang w:val="en-US"/>
              </w:rPr>
            </w:pPr>
            <w:r>
              <w:rPr>
                <w:rFonts w:cs="Times"/>
                <w:lang w:val="en-US"/>
              </w:rPr>
              <w:t>C</w:t>
            </w:r>
          </w:p>
        </w:tc>
        <w:tc>
          <w:tcPr>
            <w:tcW w:w="2838" w:type="dxa"/>
          </w:tcPr>
          <w:p w:rsidR="00E948DD" w:rsidRDefault="0012086F" w:rsidP="00E948DD">
            <w:pPr>
              <w:rPr>
                <w:rFonts w:cs="Times"/>
                <w:lang w:val="en-US"/>
              </w:rPr>
            </w:pPr>
            <w:r>
              <w:rPr>
                <w:rFonts w:cs="Times"/>
                <w:lang w:val="en-US"/>
              </w:rPr>
              <w:t>6</w:t>
            </w:r>
          </w:p>
        </w:tc>
        <w:tc>
          <w:tcPr>
            <w:tcW w:w="2838" w:type="dxa"/>
          </w:tcPr>
          <w:p w:rsidR="00E948DD" w:rsidRDefault="0012086F" w:rsidP="00E948DD">
            <w:pPr>
              <w:rPr>
                <w:rFonts w:cs="Times"/>
                <w:lang w:val="en-US"/>
              </w:rPr>
            </w:pPr>
            <w:r>
              <w:rPr>
                <w:rFonts w:cs="Times"/>
                <w:lang w:val="en-US"/>
              </w:rPr>
              <w:t>1806</w:t>
            </w:r>
          </w:p>
        </w:tc>
      </w:tr>
      <w:tr w:rsidR="00E948DD" w:rsidTr="00E948DD">
        <w:tc>
          <w:tcPr>
            <w:tcW w:w="2840" w:type="dxa"/>
          </w:tcPr>
          <w:p w:rsidR="00E948DD" w:rsidRDefault="00E948DD" w:rsidP="00E948DD">
            <w:pPr>
              <w:rPr>
                <w:rFonts w:cs="Times"/>
                <w:lang w:val="en-US"/>
              </w:rPr>
            </w:pPr>
            <w:r>
              <w:rPr>
                <w:rFonts w:cs="Times"/>
                <w:lang w:val="en-US"/>
              </w:rPr>
              <w:t>N</w:t>
            </w:r>
          </w:p>
        </w:tc>
        <w:tc>
          <w:tcPr>
            <w:tcW w:w="2838" w:type="dxa"/>
          </w:tcPr>
          <w:p w:rsidR="00E948DD" w:rsidRDefault="0012086F" w:rsidP="00E948DD">
            <w:pPr>
              <w:rPr>
                <w:rFonts w:cs="Times"/>
                <w:lang w:val="en-US"/>
              </w:rPr>
            </w:pPr>
            <w:r>
              <w:rPr>
                <w:rFonts w:cs="Times"/>
                <w:lang w:val="en-US"/>
              </w:rPr>
              <w:t>7</w:t>
            </w:r>
          </w:p>
        </w:tc>
        <w:tc>
          <w:tcPr>
            <w:tcW w:w="2838" w:type="dxa"/>
          </w:tcPr>
          <w:p w:rsidR="00E948DD" w:rsidRDefault="0012086F" w:rsidP="00E948DD">
            <w:pPr>
              <w:rPr>
                <w:rFonts w:cs="Times"/>
                <w:lang w:val="en-US"/>
              </w:rPr>
            </w:pPr>
            <w:r>
              <w:rPr>
                <w:rFonts w:cs="Times"/>
                <w:lang w:val="en-US"/>
              </w:rPr>
              <w:t>1402</w:t>
            </w:r>
          </w:p>
        </w:tc>
      </w:tr>
      <w:tr w:rsidR="00E948DD" w:rsidTr="00E948DD">
        <w:tc>
          <w:tcPr>
            <w:tcW w:w="2840" w:type="dxa"/>
          </w:tcPr>
          <w:p w:rsidR="00E948DD" w:rsidRDefault="00E948DD" w:rsidP="00E948DD">
            <w:pPr>
              <w:rPr>
                <w:rFonts w:cs="Times"/>
                <w:lang w:val="en-US"/>
              </w:rPr>
            </w:pPr>
            <w:r>
              <w:rPr>
                <w:rFonts w:cs="Times"/>
                <w:lang w:val="en-US"/>
              </w:rPr>
              <w:t>O</w:t>
            </w:r>
          </w:p>
        </w:tc>
        <w:tc>
          <w:tcPr>
            <w:tcW w:w="2838" w:type="dxa"/>
          </w:tcPr>
          <w:p w:rsidR="00E948DD" w:rsidRDefault="0012086F" w:rsidP="00E948DD">
            <w:pPr>
              <w:rPr>
                <w:rFonts w:cs="Times"/>
                <w:lang w:val="en-US"/>
              </w:rPr>
            </w:pPr>
            <w:r>
              <w:rPr>
                <w:rFonts w:cs="Times"/>
                <w:lang w:val="en-US"/>
              </w:rPr>
              <w:t>8</w:t>
            </w:r>
          </w:p>
        </w:tc>
        <w:tc>
          <w:tcPr>
            <w:tcW w:w="2838" w:type="dxa"/>
          </w:tcPr>
          <w:p w:rsidR="00E948DD" w:rsidRDefault="0012086F" w:rsidP="00E948DD">
            <w:pPr>
              <w:rPr>
                <w:rFonts w:cs="Times"/>
                <w:lang w:val="en-US"/>
              </w:rPr>
            </w:pPr>
            <w:r>
              <w:rPr>
                <w:rFonts w:cs="Times"/>
                <w:lang w:val="en-US"/>
              </w:rPr>
              <w:t>1314</w:t>
            </w:r>
          </w:p>
        </w:tc>
      </w:tr>
      <w:tr w:rsidR="00E948DD" w:rsidTr="00E948DD">
        <w:tc>
          <w:tcPr>
            <w:tcW w:w="2840" w:type="dxa"/>
          </w:tcPr>
          <w:p w:rsidR="00E948DD" w:rsidRDefault="00E948DD" w:rsidP="00E948DD">
            <w:pPr>
              <w:rPr>
                <w:rFonts w:cs="Times"/>
                <w:lang w:val="en-US"/>
              </w:rPr>
            </w:pPr>
            <w:r>
              <w:rPr>
                <w:rFonts w:cs="Times"/>
                <w:lang w:val="en-US"/>
              </w:rPr>
              <w:t>F</w:t>
            </w:r>
          </w:p>
        </w:tc>
        <w:tc>
          <w:tcPr>
            <w:tcW w:w="2838" w:type="dxa"/>
          </w:tcPr>
          <w:p w:rsidR="00E948DD" w:rsidRDefault="0012086F" w:rsidP="00E948DD">
            <w:pPr>
              <w:rPr>
                <w:rFonts w:cs="Times"/>
                <w:lang w:val="en-US"/>
              </w:rPr>
            </w:pPr>
            <w:r>
              <w:rPr>
                <w:rFonts w:cs="Times"/>
                <w:lang w:val="en-US"/>
              </w:rPr>
              <w:t>9</w:t>
            </w:r>
          </w:p>
        </w:tc>
        <w:tc>
          <w:tcPr>
            <w:tcW w:w="2838" w:type="dxa"/>
          </w:tcPr>
          <w:p w:rsidR="00E948DD" w:rsidRDefault="0012086F" w:rsidP="00E948DD">
            <w:pPr>
              <w:rPr>
                <w:rFonts w:cs="Times"/>
                <w:lang w:val="en-US"/>
              </w:rPr>
            </w:pPr>
            <w:r>
              <w:rPr>
                <w:rFonts w:cs="Times"/>
                <w:lang w:val="en-US"/>
              </w:rPr>
              <w:t>1681</w:t>
            </w:r>
          </w:p>
        </w:tc>
      </w:tr>
      <w:tr w:rsidR="00E948DD" w:rsidTr="00E948DD">
        <w:tblPrEx>
          <w:tblLook w:val="0000" w:firstRow="0" w:lastRow="0" w:firstColumn="0" w:lastColumn="0" w:noHBand="0" w:noVBand="0"/>
        </w:tblPrEx>
        <w:trPr>
          <w:trHeight w:val="280"/>
        </w:trPr>
        <w:tc>
          <w:tcPr>
            <w:tcW w:w="2840" w:type="dxa"/>
          </w:tcPr>
          <w:p w:rsidR="00E948DD" w:rsidRDefault="00E948DD" w:rsidP="00E948DD">
            <w:pPr>
              <w:rPr>
                <w:rFonts w:cs="Times"/>
                <w:lang w:val="en-US"/>
              </w:rPr>
            </w:pPr>
            <w:r>
              <w:rPr>
                <w:rFonts w:cs="Times"/>
                <w:lang w:val="en-US"/>
              </w:rPr>
              <w:t>Ne</w:t>
            </w:r>
          </w:p>
        </w:tc>
        <w:tc>
          <w:tcPr>
            <w:tcW w:w="2840" w:type="dxa"/>
          </w:tcPr>
          <w:p w:rsidR="00E948DD" w:rsidRDefault="0012086F" w:rsidP="0012086F">
            <w:pPr>
              <w:rPr>
                <w:rFonts w:cs="Times"/>
                <w:lang w:val="en-US"/>
              </w:rPr>
            </w:pPr>
            <w:r>
              <w:rPr>
                <w:rFonts w:cs="Times"/>
                <w:lang w:val="en-US"/>
              </w:rPr>
              <w:t>10</w:t>
            </w:r>
          </w:p>
        </w:tc>
        <w:tc>
          <w:tcPr>
            <w:tcW w:w="2836" w:type="dxa"/>
          </w:tcPr>
          <w:p w:rsidR="00E948DD" w:rsidRDefault="0012086F" w:rsidP="0012086F">
            <w:pPr>
              <w:rPr>
                <w:rFonts w:cs="Times"/>
                <w:lang w:val="en-US"/>
              </w:rPr>
            </w:pPr>
            <w:r>
              <w:rPr>
                <w:rFonts w:cs="Times"/>
                <w:lang w:val="en-US"/>
              </w:rPr>
              <w:t>2081</w:t>
            </w:r>
          </w:p>
        </w:tc>
      </w:tr>
    </w:tbl>
    <w:p w:rsidR="00E948DD" w:rsidRDefault="00E948DD"/>
    <w:p w:rsidR="0012086F" w:rsidRDefault="0012086F">
      <w:r>
        <w:rPr>
          <w:noProof/>
          <w:lang w:val="en-US"/>
        </w:rPr>
        <w:drawing>
          <wp:anchor distT="0" distB="0" distL="114300" distR="114300" simplePos="0" relativeHeight="251660288" behindDoc="0" locked="0" layoutInCell="1" allowOverlap="1" wp14:anchorId="34C09D17" wp14:editId="5C574F80">
            <wp:simplePos x="0" y="0"/>
            <wp:positionH relativeFrom="column">
              <wp:posOffset>0</wp:posOffset>
            </wp:positionH>
            <wp:positionV relativeFrom="paragraph">
              <wp:posOffset>307340</wp:posOffset>
            </wp:positionV>
            <wp:extent cx="5829300" cy="3441700"/>
            <wp:effectExtent l="0" t="0" r="12700" b="12700"/>
            <wp:wrapTight wrapText="bothSides">
              <wp:wrapPolygon edited="0">
                <wp:start x="0" y="0"/>
                <wp:lineTo x="0" y="21520"/>
                <wp:lineTo x="21553" y="21520"/>
                <wp:lineTo x="21553" y="0"/>
                <wp:lineTo x="0" y="0"/>
              </wp:wrapPolygon>
            </wp:wrapTight>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r>
        <w:t xml:space="preserve">9. </w:t>
      </w:r>
    </w:p>
    <w:p w:rsidR="0012086F" w:rsidRDefault="0012086F"/>
    <w:p w:rsidR="0012086F" w:rsidRDefault="0012086F">
      <w:r>
        <w:t xml:space="preserve">10. </w:t>
      </w:r>
      <w:r w:rsidR="005054A5">
        <w:t xml:space="preserve"> As you move down the period (left to right) the first ionisation energy decreases. This is due to the increase radius of atoms. As you move down the period, the atomic radius gets smaller, therefore the attraction between the nucleus and the electrons on the outermost shell is stronger, making it difficult for </w:t>
      </w:r>
      <w:proofErr w:type="gramStart"/>
      <w:r w:rsidR="005054A5">
        <w:t>the  electrons</w:t>
      </w:r>
      <w:proofErr w:type="gramEnd"/>
      <w:r w:rsidR="005054A5">
        <w:t xml:space="preserve"> to be removed.</w:t>
      </w:r>
    </w:p>
    <w:p w:rsidR="0012086F" w:rsidRDefault="0012086F"/>
    <w:p w:rsidR="0012086F" w:rsidRDefault="0012086F"/>
    <w:p w:rsidR="0012086F" w:rsidRDefault="0012086F"/>
    <w:p w:rsidR="0012086F" w:rsidRDefault="0012086F"/>
    <w:p w:rsidR="0012086F" w:rsidRDefault="0012086F"/>
    <w:p w:rsidR="0012086F" w:rsidRDefault="0012086F"/>
    <w:p w:rsidR="0012086F" w:rsidRDefault="0012086F"/>
    <w:p w:rsidR="0012086F" w:rsidRDefault="0012086F"/>
    <w:p w:rsidR="0012086F" w:rsidRDefault="0012086F"/>
    <w:p w:rsidR="0012086F" w:rsidRDefault="0012086F"/>
    <w:p w:rsidR="0012086F" w:rsidRDefault="0012086F"/>
    <w:p w:rsidR="0012086F" w:rsidRDefault="0012086F"/>
    <w:p w:rsidR="0012086F" w:rsidRDefault="0012086F"/>
    <w:p w:rsidR="0012086F" w:rsidRDefault="0012086F"/>
    <w:p w:rsidR="0012086F" w:rsidRPr="00E948DD" w:rsidRDefault="0012086F">
      <w:r>
        <w:t xml:space="preserve">11.  </w:t>
      </w:r>
    </w:p>
    <w:tbl>
      <w:tblPr>
        <w:tblStyle w:val="TableGrid"/>
        <w:tblW w:w="0" w:type="auto"/>
        <w:tblLook w:val="04A0" w:firstRow="1" w:lastRow="0" w:firstColumn="1" w:lastColumn="0" w:noHBand="0" w:noVBand="1"/>
      </w:tblPr>
      <w:tblGrid>
        <w:gridCol w:w="2839"/>
        <w:gridCol w:w="2839"/>
        <w:gridCol w:w="2838"/>
      </w:tblGrid>
      <w:tr w:rsidR="0012086F" w:rsidTr="0012086F">
        <w:tc>
          <w:tcPr>
            <w:tcW w:w="2840" w:type="dxa"/>
          </w:tcPr>
          <w:p w:rsidR="0012086F" w:rsidRDefault="0012086F" w:rsidP="0012086F">
            <w:pPr>
              <w:rPr>
                <w:rFonts w:cs="Times"/>
                <w:lang w:val="en-US"/>
              </w:rPr>
            </w:pPr>
            <w:r>
              <w:rPr>
                <w:rFonts w:cs="Times"/>
                <w:lang w:val="en-US"/>
              </w:rPr>
              <w:t>Elements</w:t>
            </w:r>
          </w:p>
        </w:tc>
        <w:tc>
          <w:tcPr>
            <w:tcW w:w="2838" w:type="dxa"/>
          </w:tcPr>
          <w:p w:rsidR="0012086F" w:rsidRDefault="0012086F" w:rsidP="0012086F">
            <w:pPr>
              <w:rPr>
                <w:rFonts w:cs="Times"/>
                <w:lang w:val="en-US"/>
              </w:rPr>
            </w:pPr>
            <w:r>
              <w:rPr>
                <w:rFonts w:cs="Times"/>
                <w:lang w:val="en-US"/>
              </w:rPr>
              <w:t>Proton number 2</w:t>
            </w:r>
          </w:p>
        </w:tc>
        <w:tc>
          <w:tcPr>
            <w:tcW w:w="2838" w:type="dxa"/>
          </w:tcPr>
          <w:p w:rsidR="0012086F" w:rsidRDefault="0012086F" w:rsidP="0012086F">
            <w:pPr>
              <w:rPr>
                <w:rFonts w:cs="Times"/>
                <w:lang w:val="en-US"/>
              </w:rPr>
            </w:pPr>
            <w:r>
              <w:rPr>
                <w:rFonts w:cs="Times"/>
                <w:lang w:val="en-US"/>
              </w:rPr>
              <w:t>Electronegativity (Pauling)</w:t>
            </w:r>
          </w:p>
        </w:tc>
      </w:tr>
      <w:tr w:rsidR="0012086F" w:rsidTr="0012086F">
        <w:tc>
          <w:tcPr>
            <w:tcW w:w="2840" w:type="dxa"/>
          </w:tcPr>
          <w:p w:rsidR="0012086F" w:rsidRDefault="0012086F" w:rsidP="0012086F">
            <w:pPr>
              <w:rPr>
                <w:rFonts w:cs="Times"/>
                <w:lang w:val="en-US"/>
              </w:rPr>
            </w:pPr>
            <w:r>
              <w:rPr>
                <w:rFonts w:cs="Times"/>
                <w:lang w:val="en-US"/>
              </w:rPr>
              <w:t>Li</w:t>
            </w:r>
          </w:p>
        </w:tc>
        <w:tc>
          <w:tcPr>
            <w:tcW w:w="2838" w:type="dxa"/>
          </w:tcPr>
          <w:p w:rsidR="0012086F" w:rsidRDefault="0012086F" w:rsidP="0012086F">
            <w:pPr>
              <w:rPr>
                <w:rFonts w:cs="Times"/>
                <w:lang w:val="en-US"/>
              </w:rPr>
            </w:pPr>
            <w:r>
              <w:rPr>
                <w:rFonts w:cs="Times"/>
                <w:lang w:val="en-US"/>
              </w:rPr>
              <w:t>3</w:t>
            </w:r>
          </w:p>
        </w:tc>
        <w:tc>
          <w:tcPr>
            <w:tcW w:w="2838" w:type="dxa"/>
          </w:tcPr>
          <w:p w:rsidR="0012086F" w:rsidRDefault="0012086F" w:rsidP="0012086F">
            <w:pPr>
              <w:rPr>
                <w:rFonts w:cs="Times"/>
                <w:lang w:val="en-US"/>
              </w:rPr>
            </w:pPr>
            <w:r>
              <w:rPr>
                <w:rFonts w:cs="Times"/>
                <w:lang w:val="en-US"/>
              </w:rPr>
              <w:t>0.98</w:t>
            </w:r>
          </w:p>
        </w:tc>
      </w:tr>
      <w:tr w:rsidR="0012086F" w:rsidTr="0012086F">
        <w:tc>
          <w:tcPr>
            <w:tcW w:w="2840" w:type="dxa"/>
          </w:tcPr>
          <w:p w:rsidR="0012086F" w:rsidRDefault="0012086F" w:rsidP="0012086F">
            <w:pPr>
              <w:rPr>
                <w:rFonts w:cs="Times"/>
                <w:lang w:val="en-US"/>
              </w:rPr>
            </w:pPr>
            <w:r>
              <w:rPr>
                <w:rFonts w:cs="Times"/>
                <w:lang w:val="en-US"/>
              </w:rPr>
              <w:t>Be</w:t>
            </w:r>
          </w:p>
        </w:tc>
        <w:tc>
          <w:tcPr>
            <w:tcW w:w="2838" w:type="dxa"/>
          </w:tcPr>
          <w:p w:rsidR="0012086F" w:rsidRDefault="0012086F" w:rsidP="0012086F">
            <w:pPr>
              <w:rPr>
                <w:rFonts w:cs="Times"/>
                <w:lang w:val="en-US"/>
              </w:rPr>
            </w:pPr>
            <w:r>
              <w:rPr>
                <w:rFonts w:cs="Times"/>
                <w:lang w:val="en-US"/>
              </w:rPr>
              <w:t>4</w:t>
            </w:r>
          </w:p>
        </w:tc>
        <w:tc>
          <w:tcPr>
            <w:tcW w:w="2838" w:type="dxa"/>
          </w:tcPr>
          <w:p w:rsidR="0012086F" w:rsidRDefault="0012086F" w:rsidP="0012086F">
            <w:pPr>
              <w:rPr>
                <w:rFonts w:cs="Times"/>
                <w:lang w:val="en-US"/>
              </w:rPr>
            </w:pPr>
            <w:r>
              <w:rPr>
                <w:rFonts w:cs="Times"/>
                <w:lang w:val="en-US"/>
              </w:rPr>
              <w:t>1.57</w:t>
            </w:r>
          </w:p>
        </w:tc>
      </w:tr>
      <w:tr w:rsidR="0012086F" w:rsidTr="0012086F">
        <w:tc>
          <w:tcPr>
            <w:tcW w:w="2840" w:type="dxa"/>
          </w:tcPr>
          <w:p w:rsidR="0012086F" w:rsidRDefault="0012086F" w:rsidP="0012086F">
            <w:pPr>
              <w:rPr>
                <w:rFonts w:cs="Times"/>
                <w:lang w:val="en-US"/>
              </w:rPr>
            </w:pPr>
            <w:r>
              <w:rPr>
                <w:rFonts w:cs="Times"/>
                <w:lang w:val="en-US"/>
              </w:rPr>
              <w:t>B</w:t>
            </w:r>
          </w:p>
        </w:tc>
        <w:tc>
          <w:tcPr>
            <w:tcW w:w="2838" w:type="dxa"/>
          </w:tcPr>
          <w:p w:rsidR="0012086F" w:rsidRDefault="0012086F" w:rsidP="0012086F">
            <w:pPr>
              <w:rPr>
                <w:rFonts w:cs="Times"/>
                <w:lang w:val="en-US"/>
              </w:rPr>
            </w:pPr>
            <w:r>
              <w:rPr>
                <w:rFonts w:cs="Times"/>
                <w:lang w:val="en-US"/>
              </w:rPr>
              <w:t>5</w:t>
            </w:r>
          </w:p>
        </w:tc>
        <w:tc>
          <w:tcPr>
            <w:tcW w:w="2838" w:type="dxa"/>
          </w:tcPr>
          <w:p w:rsidR="0012086F" w:rsidRDefault="0012086F" w:rsidP="0012086F">
            <w:pPr>
              <w:rPr>
                <w:rFonts w:cs="Times"/>
                <w:lang w:val="en-US"/>
              </w:rPr>
            </w:pPr>
            <w:r>
              <w:rPr>
                <w:rFonts w:cs="Times"/>
                <w:lang w:val="en-US"/>
              </w:rPr>
              <w:t>2.04</w:t>
            </w:r>
          </w:p>
        </w:tc>
      </w:tr>
      <w:tr w:rsidR="0012086F" w:rsidTr="0012086F">
        <w:tc>
          <w:tcPr>
            <w:tcW w:w="2840" w:type="dxa"/>
          </w:tcPr>
          <w:p w:rsidR="0012086F" w:rsidRDefault="0012086F" w:rsidP="0012086F">
            <w:pPr>
              <w:rPr>
                <w:rFonts w:cs="Times"/>
                <w:lang w:val="en-US"/>
              </w:rPr>
            </w:pPr>
            <w:r>
              <w:rPr>
                <w:rFonts w:cs="Times"/>
                <w:lang w:val="en-US"/>
              </w:rPr>
              <w:t>C</w:t>
            </w:r>
          </w:p>
        </w:tc>
        <w:tc>
          <w:tcPr>
            <w:tcW w:w="2838" w:type="dxa"/>
          </w:tcPr>
          <w:p w:rsidR="0012086F" w:rsidRDefault="0012086F" w:rsidP="0012086F">
            <w:pPr>
              <w:rPr>
                <w:rFonts w:cs="Times"/>
                <w:lang w:val="en-US"/>
              </w:rPr>
            </w:pPr>
            <w:r>
              <w:rPr>
                <w:rFonts w:cs="Times"/>
                <w:lang w:val="en-US"/>
              </w:rPr>
              <w:t>6</w:t>
            </w:r>
          </w:p>
        </w:tc>
        <w:tc>
          <w:tcPr>
            <w:tcW w:w="2838" w:type="dxa"/>
          </w:tcPr>
          <w:p w:rsidR="0012086F" w:rsidRDefault="0012086F" w:rsidP="0012086F">
            <w:pPr>
              <w:rPr>
                <w:rFonts w:cs="Times"/>
                <w:lang w:val="en-US"/>
              </w:rPr>
            </w:pPr>
            <w:r>
              <w:rPr>
                <w:rFonts w:cs="Times"/>
                <w:lang w:val="en-US"/>
              </w:rPr>
              <w:t>2.55</w:t>
            </w:r>
          </w:p>
        </w:tc>
      </w:tr>
      <w:tr w:rsidR="0012086F" w:rsidTr="0012086F">
        <w:tc>
          <w:tcPr>
            <w:tcW w:w="2840" w:type="dxa"/>
          </w:tcPr>
          <w:p w:rsidR="0012086F" w:rsidRDefault="0012086F" w:rsidP="0012086F">
            <w:pPr>
              <w:rPr>
                <w:rFonts w:cs="Times"/>
                <w:lang w:val="en-US"/>
              </w:rPr>
            </w:pPr>
            <w:r>
              <w:rPr>
                <w:rFonts w:cs="Times"/>
                <w:lang w:val="en-US"/>
              </w:rPr>
              <w:t>N</w:t>
            </w:r>
          </w:p>
        </w:tc>
        <w:tc>
          <w:tcPr>
            <w:tcW w:w="2838" w:type="dxa"/>
          </w:tcPr>
          <w:p w:rsidR="0012086F" w:rsidRDefault="0012086F" w:rsidP="0012086F">
            <w:pPr>
              <w:rPr>
                <w:rFonts w:cs="Times"/>
                <w:lang w:val="en-US"/>
              </w:rPr>
            </w:pPr>
            <w:r>
              <w:rPr>
                <w:rFonts w:cs="Times"/>
                <w:lang w:val="en-US"/>
              </w:rPr>
              <w:t>7</w:t>
            </w:r>
          </w:p>
        </w:tc>
        <w:tc>
          <w:tcPr>
            <w:tcW w:w="2838" w:type="dxa"/>
          </w:tcPr>
          <w:p w:rsidR="0012086F" w:rsidRDefault="0012086F" w:rsidP="0012086F">
            <w:pPr>
              <w:rPr>
                <w:rFonts w:cs="Times"/>
                <w:lang w:val="en-US"/>
              </w:rPr>
            </w:pPr>
            <w:r>
              <w:rPr>
                <w:rFonts w:cs="Times"/>
                <w:lang w:val="en-US"/>
              </w:rPr>
              <w:t>3.04</w:t>
            </w:r>
          </w:p>
        </w:tc>
      </w:tr>
      <w:tr w:rsidR="0012086F" w:rsidTr="0012086F">
        <w:tc>
          <w:tcPr>
            <w:tcW w:w="2840" w:type="dxa"/>
          </w:tcPr>
          <w:p w:rsidR="0012086F" w:rsidRDefault="0012086F" w:rsidP="0012086F">
            <w:pPr>
              <w:rPr>
                <w:rFonts w:cs="Times"/>
                <w:lang w:val="en-US"/>
              </w:rPr>
            </w:pPr>
            <w:r>
              <w:rPr>
                <w:rFonts w:cs="Times"/>
                <w:lang w:val="en-US"/>
              </w:rPr>
              <w:t>O</w:t>
            </w:r>
          </w:p>
        </w:tc>
        <w:tc>
          <w:tcPr>
            <w:tcW w:w="2838" w:type="dxa"/>
          </w:tcPr>
          <w:p w:rsidR="0012086F" w:rsidRDefault="0012086F" w:rsidP="0012086F">
            <w:pPr>
              <w:rPr>
                <w:rFonts w:cs="Times"/>
                <w:lang w:val="en-US"/>
              </w:rPr>
            </w:pPr>
            <w:r>
              <w:rPr>
                <w:rFonts w:cs="Times"/>
                <w:lang w:val="en-US"/>
              </w:rPr>
              <w:t>8</w:t>
            </w:r>
          </w:p>
        </w:tc>
        <w:tc>
          <w:tcPr>
            <w:tcW w:w="2838" w:type="dxa"/>
          </w:tcPr>
          <w:p w:rsidR="0012086F" w:rsidRDefault="0012086F" w:rsidP="0012086F">
            <w:pPr>
              <w:rPr>
                <w:rFonts w:cs="Times"/>
                <w:lang w:val="en-US"/>
              </w:rPr>
            </w:pPr>
            <w:r>
              <w:rPr>
                <w:rFonts w:cs="Times"/>
                <w:lang w:val="en-US"/>
              </w:rPr>
              <w:t>3.44</w:t>
            </w:r>
          </w:p>
        </w:tc>
      </w:tr>
      <w:tr w:rsidR="0012086F" w:rsidTr="0012086F">
        <w:tc>
          <w:tcPr>
            <w:tcW w:w="2840" w:type="dxa"/>
          </w:tcPr>
          <w:p w:rsidR="0012086F" w:rsidRDefault="0012086F" w:rsidP="0012086F">
            <w:pPr>
              <w:rPr>
                <w:rFonts w:cs="Times"/>
                <w:lang w:val="en-US"/>
              </w:rPr>
            </w:pPr>
            <w:r>
              <w:rPr>
                <w:rFonts w:cs="Times"/>
                <w:lang w:val="en-US"/>
              </w:rPr>
              <w:t>F</w:t>
            </w:r>
          </w:p>
        </w:tc>
        <w:tc>
          <w:tcPr>
            <w:tcW w:w="2838" w:type="dxa"/>
          </w:tcPr>
          <w:p w:rsidR="0012086F" w:rsidRDefault="0012086F" w:rsidP="0012086F">
            <w:pPr>
              <w:rPr>
                <w:rFonts w:cs="Times"/>
                <w:lang w:val="en-US"/>
              </w:rPr>
            </w:pPr>
            <w:r>
              <w:rPr>
                <w:rFonts w:cs="Times"/>
                <w:lang w:val="en-US"/>
              </w:rPr>
              <w:t>9</w:t>
            </w:r>
          </w:p>
        </w:tc>
        <w:tc>
          <w:tcPr>
            <w:tcW w:w="2838" w:type="dxa"/>
          </w:tcPr>
          <w:p w:rsidR="0012086F" w:rsidRDefault="0012086F" w:rsidP="0012086F">
            <w:pPr>
              <w:rPr>
                <w:rFonts w:cs="Times"/>
                <w:lang w:val="en-US"/>
              </w:rPr>
            </w:pPr>
            <w:r>
              <w:rPr>
                <w:rFonts w:cs="Times"/>
                <w:lang w:val="en-US"/>
              </w:rPr>
              <w:t>3.98</w:t>
            </w:r>
          </w:p>
        </w:tc>
      </w:tr>
      <w:tr w:rsidR="0012086F" w:rsidTr="0012086F">
        <w:tblPrEx>
          <w:tblLook w:val="0000" w:firstRow="0" w:lastRow="0" w:firstColumn="0" w:lastColumn="0" w:noHBand="0" w:noVBand="0"/>
        </w:tblPrEx>
        <w:trPr>
          <w:trHeight w:val="280"/>
        </w:trPr>
        <w:tc>
          <w:tcPr>
            <w:tcW w:w="2840" w:type="dxa"/>
          </w:tcPr>
          <w:p w:rsidR="0012086F" w:rsidRDefault="0012086F" w:rsidP="0012086F">
            <w:pPr>
              <w:rPr>
                <w:rFonts w:cs="Times"/>
                <w:lang w:val="en-US"/>
              </w:rPr>
            </w:pPr>
            <w:r>
              <w:rPr>
                <w:rFonts w:cs="Times"/>
                <w:lang w:val="en-US"/>
              </w:rPr>
              <w:t>Ne</w:t>
            </w:r>
          </w:p>
        </w:tc>
        <w:tc>
          <w:tcPr>
            <w:tcW w:w="2840" w:type="dxa"/>
          </w:tcPr>
          <w:p w:rsidR="0012086F" w:rsidRDefault="0012086F" w:rsidP="0012086F">
            <w:pPr>
              <w:rPr>
                <w:rFonts w:cs="Times"/>
                <w:lang w:val="en-US"/>
              </w:rPr>
            </w:pPr>
            <w:r>
              <w:rPr>
                <w:rFonts w:cs="Times"/>
                <w:lang w:val="en-US"/>
              </w:rPr>
              <w:t>10</w:t>
            </w:r>
          </w:p>
        </w:tc>
        <w:tc>
          <w:tcPr>
            <w:tcW w:w="2836" w:type="dxa"/>
          </w:tcPr>
          <w:p w:rsidR="0012086F" w:rsidRDefault="0012086F" w:rsidP="0012086F">
            <w:pPr>
              <w:rPr>
                <w:rFonts w:cs="Times"/>
                <w:lang w:val="en-US"/>
              </w:rPr>
            </w:pPr>
            <w:r>
              <w:rPr>
                <w:rFonts w:cs="Times"/>
                <w:lang w:val="en-US"/>
              </w:rPr>
              <w:t>0</w:t>
            </w:r>
          </w:p>
        </w:tc>
      </w:tr>
    </w:tbl>
    <w:p w:rsidR="0012086F" w:rsidRDefault="005054A5">
      <w:r>
        <w:rPr>
          <w:noProof/>
          <w:lang w:val="en-US"/>
        </w:rPr>
        <w:drawing>
          <wp:anchor distT="0" distB="0" distL="114300" distR="114300" simplePos="0" relativeHeight="251661312" behindDoc="0" locked="0" layoutInCell="1" allowOverlap="1" wp14:anchorId="74974CD3" wp14:editId="6B6B1F81">
            <wp:simplePos x="0" y="0"/>
            <wp:positionH relativeFrom="column">
              <wp:posOffset>0</wp:posOffset>
            </wp:positionH>
            <wp:positionV relativeFrom="paragraph">
              <wp:posOffset>570865</wp:posOffset>
            </wp:positionV>
            <wp:extent cx="5270500" cy="3074670"/>
            <wp:effectExtent l="0" t="0" r="12700" b="24130"/>
            <wp:wrapTight wrapText="bothSides">
              <wp:wrapPolygon edited="0">
                <wp:start x="0" y="0"/>
                <wp:lineTo x="0" y="21591"/>
                <wp:lineTo x="21548" y="21591"/>
                <wp:lineTo x="21548" y="0"/>
                <wp:lineTo x="0" y="0"/>
              </wp:wrapPolygon>
            </wp:wrapTight>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12086F" w:rsidRDefault="0012086F">
      <w:r>
        <w:t>12.</w:t>
      </w:r>
    </w:p>
    <w:p w:rsidR="0012086F" w:rsidRDefault="0012086F"/>
    <w:p w:rsidR="005054A5" w:rsidRDefault="005054A5"/>
    <w:p w:rsidR="005054A5" w:rsidRDefault="005054A5">
      <w:r>
        <w:t xml:space="preserve">13. </w:t>
      </w:r>
      <w:r w:rsidR="00172C18">
        <w:t xml:space="preserve"> As you move across the period, the electronegativity increases. This is due to the increase of atomic radius as you move across the period therefore the protons in the nucleus increases, which is able to attract the electrons in a stronger attraction. </w:t>
      </w:r>
    </w:p>
    <w:p w:rsidR="00172C18" w:rsidRDefault="00172C18"/>
    <w:p w:rsidR="00172C18" w:rsidRDefault="00172C18">
      <w:r>
        <w:t>14.  For the metals, t</w:t>
      </w:r>
      <w:r w:rsidR="00116E19">
        <w:t>he reactivity decreases as you move across the period. This is because the atomic radius increases which means that it is easier for the electrons to be removed therefore it results in a high reactivity.</w:t>
      </w:r>
    </w:p>
    <w:p w:rsidR="00116E19" w:rsidRDefault="00116E19">
      <w:r>
        <w:t>For the non-metals, the reactivity increases as you move across the period. This is because the atomic radius decreases, making it difficult for the electrons to be removed which results in more energetic movements of electrons.</w:t>
      </w:r>
    </w:p>
    <w:p w:rsidR="00172C18" w:rsidRDefault="00690DAF">
      <w:r>
        <w:t>It you graph the reactivity, it forms a parabola.</w:t>
      </w:r>
      <w:bookmarkStart w:id="0" w:name="_GoBack"/>
      <w:bookmarkEnd w:id="0"/>
    </w:p>
    <w:p w:rsidR="00172C18" w:rsidRDefault="00172C18"/>
    <w:p w:rsidR="00172C18" w:rsidRDefault="00172C18">
      <w:r>
        <w:t>15. This is because Neon is a noble gas that has a full outer shell (8) therefore they do not attract themselves.</w:t>
      </w:r>
    </w:p>
    <w:p w:rsidR="00172C18" w:rsidRDefault="00172C18"/>
    <w:p w:rsidR="00172C18" w:rsidRPr="00E948DD" w:rsidRDefault="00172C18"/>
    <w:sectPr w:rsidR="00172C18" w:rsidRPr="00E948DD" w:rsidSect="00D0257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064"/>
    <w:rsid w:val="00116E19"/>
    <w:rsid w:val="0012086F"/>
    <w:rsid w:val="00172C18"/>
    <w:rsid w:val="00390725"/>
    <w:rsid w:val="005054A5"/>
    <w:rsid w:val="0065192A"/>
    <w:rsid w:val="00690DAF"/>
    <w:rsid w:val="007B7064"/>
    <w:rsid w:val="00D02571"/>
    <w:rsid w:val="00E8779D"/>
    <w:rsid w:val="00E948DD"/>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C9A4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70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B7064"/>
    <w:rPr>
      <w:rFonts w:ascii="Lucida Grande" w:hAnsi="Lucida Grande"/>
      <w:sz w:val="18"/>
      <w:szCs w:val="18"/>
    </w:rPr>
  </w:style>
  <w:style w:type="character" w:customStyle="1" w:styleId="BalloonTextChar">
    <w:name w:val="Balloon Text Char"/>
    <w:basedOn w:val="DefaultParagraphFont"/>
    <w:link w:val="BalloonText"/>
    <w:uiPriority w:val="99"/>
    <w:semiHidden/>
    <w:rsid w:val="007B7064"/>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B70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B7064"/>
    <w:rPr>
      <w:rFonts w:ascii="Lucida Grande" w:hAnsi="Lucida Grande"/>
      <w:sz w:val="18"/>
      <w:szCs w:val="18"/>
    </w:rPr>
  </w:style>
  <w:style w:type="character" w:customStyle="1" w:styleId="BalloonTextChar">
    <w:name w:val="Balloon Text Char"/>
    <w:basedOn w:val="DefaultParagraphFont"/>
    <w:link w:val="BalloonText"/>
    <w:uiPriority w:val="99"/>
    <w:semiHidden/>
    <w:rsid w:val="007B7064"/>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chart" Target="charts/chart1.xml"/><Relationship Id="rId7" Type="http://schemas.openxmlformats.org/officeDocument/2006/relationships/chart" Target="charts/chart2.xml"/><Relationship Id="rId8" Type="http://schemas.openxmlformats.org/officeDocument/2006/relationships/chart" Target="charts/chart3.xml"/><Relationship Id="rId9" Type="http://schemas.openxmlformats.org/officeDocument/2006/relationships/chart" Target="charts/chart4.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First ionisation energy</a:t>
            </a:r>
            <a:r>
              <a:rPr lang="en-US" baseline="0"/>
              <a:t> Vs. Proton Number</a:t>
            </a:r>
            <a:endParaRPr lang="en-US"/>
          </a:p>
        </c:rich>
      </c:tx>
      <c:layout/>
      <c:overlay val="0"/>
    </c:title>
    <c:autoTitleDeleted val="0"/>
    <c:plotArea>
      <c:layout/>
      <c:lineChart>
        <c:grouping val="standard"/>
        <c:varyColors val="0"/>
        <c:ser>
          <c:idx val="0"/>
          <c:order val="0"/>
          <c:tx>
            <c:strRef>
              <c:f>Sheet1!$B$1</c:f>
              <c:strCache>
                <c:ptCount val="1"/>
                <c:pt idx="0">
                  <c:v>Series 1</c:v>
                </c:pt>
              </c:strCache>
            </c:strRef>
          </c:tx>
          <c:cat>
            <c:numRef>
              <c:f>Sheet1!$A$2:$A$6</c:f>
              <c:numCache>
                <c:formatCode>General</c:formatCode>
                <c:ptCount val="5"/>
                <c:pt idx="0">
                  <c:v>3.0</c:v>
                </c:pt>
                <c:pt idx="1">
                  <c:v>1.0</c:v>
                </c:pt>
                <c:pt idx="2">
                  <c:v>19.0</c:v>
                </c:pt>
                <c:pt idx="3">
                  <c:v>37.0</c:v>
                </c:pt>
                <c:pt idx="4">
                  <c:v>55.0</c:v>
                </c:pt>
              </c:numCache>
            </c:numRef>
          </c:cat>
          <c:val>
            <c:numRef>
              <c:f>Sheet1!$B$2:$B$6</c:f>
              <c:numCache>
                <c:formatCode>General</c:formatCode>
                <c:ptCount val="5"/>
                <c:pt idx="0">
                  <c:v>520.0</c:v>
                </c:pt>
                <c:pt idx="1">
                  <c:v>496.0</c:v>
                </c:pt>
                <c:pt idx="2">
                  <c:v>419.0</c:v>
                </c:pt>
                <c:pt idx="3">
                  <c:v>403.0</c:v>
                </c:pt>
                <c:pt idx="4">
                  <c:v>376.0</c:v>
                </c:pt>
              </c:numCache>
            </c:numRef>
          </c:val>
          <c:smooth val="0"/>
        </c:ser>
        <c:dLbls>
          <c:showLegendKey val="0"/>
          <c:showVal val="0"/>
          <c:showCatName val="0"/>
          <c:showSerName val="0"/>
          <c:showPercent val="0"/>
          <c:showBubbleSize val="0"/>
        </c:dLbls>
        <c:marker val="1"/>
        <c:smooth val="0"/>
        <c:axId val="665633352"/>
        <c:axId val="549070088"/>
      </c:lineChart>
      <c:catAx>
        <c:axId val="665633352"/>
        <c:scaling>
          <c:orientation val="minMax"/>
        </c:scaling>
        <c:delete val="0"/>
        <c:axPos val="b"/>
        <c:title>
          <c:tx>
            <c:rich>
              <a:bodyPr/>
              <a:lstStyle/>
              <a:p>
                <a:pPr>
                  <a:defRPr/>
                </a:pPr>
                <a:r>
                  <a:rPr lang="en-US"/>
                  <a:t>Proton</a:t>
                </a:r>
                <a:r>
                  <a:rPr lang="en-US" baseline="0"/>
                  <a:t> Number (Z)</a:t>
                </a:r>
                <a:endParaRPr lang="en-US"/>
              </a:p>
            </c:rich>
          </c:tx>
          <c:layout/>
          <c:overlay val="0"/>
        </c:title>
        <c:numFmt formatCode="General" sourceLinked="1"/>
        <c:majorTickMark val="none"/>
        <c:minorTickMark val="none"/>
        <c:tickLblPos val="nextTo"/>
        <c:crossAx val="549070088"/>
        <c:crosses val="autoZero"/>
        <c:auto val="1"/>
        <c:lblAlgn val="ctr"/>
        <c:lblOffset val="100"/>
        <c:noMultiLvlLbl val="0"/>
      </c:catAx>
      <c:valAx>
        <c:axId val="549070088"/>
        <c:scaling>
          <c:orientation val="minMax"/>
        </c:scaling>
        <c:delete val="0"/>
        <c:axPos val="l"/>
        <c:majorGridlines/>
        <c:title>
          <c:tx>
            <c:rich>
              <a:bodyPr/>
              <a:lstStyle/>
              <a:p>
                <a:pPr>
                  <a:defRPr/>
                </a:pPr>
                <a:r>
                  <a:rPr lang="en-US"/>
                  <a:t>First ionisation energy (kJmol-1)</a:t>
                </a:r>
              </a:p>
            </c:rich>
          </c:tx>
          <c:layout/>
          <c:overlay val="0"/>
        </c:title>
        <c:numFmt formatCode="General" sourceLinked="1"/>
        <c:majorTickMark val="out"/>
        <c:minorTickMark val="none"/>
        <c:tickLblPos val="nextTo"/>
        <c:crossAx val="665633352"/>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Atomic radius  Vs. Proton Number</a:t>
            </a:r>
          </a:p>
        </c:rich>
      </c:tx>
      <c:layout/>
      <c:overlay val="0"/>
    </c:title>
    <c:autoTitleDeleted val="0"/>
    <c:plotArea>
      <c:layout/>
      <c:lineChart>
        <c:grouping val="standard"/>
        <c:varyColors val="0"/>
        <c:ser>
          <c:idx val="0"/>
          <c:order val="0"/>
          <c:tx>
            <c:strRef>
              <c:f>Sheet1!$B$1</c:f>
              <c:strCache>
                <c:ptCount val="1"/>
                <c:pt idx="0">
                  <c:v>Series 1</c:v>
                </c:pt>
              </c:strCache>
            </c:strRef>
          </c:tx>
          <c:marker>
            <c:symbol val="none"/>
          </c:marker>
          <c:cat>
            <c:numRef>
              <c:f>Sheet1!$A$2:$A$6</c:f>
              <c:numCache>
                <c:formatCode>General</c:formatCode>
                <c:ptCount val="5"/>
                <c:pt idx="0">
                  <c:v>3.0</c:v>
                </c:pt>
                <c:pt idx="1">
                  <c:v>11.0</c:v>
                </c:pt>
                <c:pt idx="2">
                  <c:v>19.0</c:v>
                </c:pt>
                <c:pt idx="3">
                  <c:v>37.0</c:v>
                </c:pt>
                <c:pt idx="4">
                  <c:v>55.0</c:v>
                </c:pt>
              </c:numCache>
            </c:numRef>
          </c:cat>
          <c:val>
            <c:numRef>
              <c:f>Sheet1!$B$2:$B$6</c:f>
              <c:numCache>
                <c:formatCode>General</c:formatCode>
                <c:ptCount val="5"/>
                <c:pt idx="0">
                  <c:v>167.0</c:v>
                </c:pt>
                <c:pt idx="1">
                  <c:v>190.0</c:v>
                </c:pt>
                <c:pt idx="2">
                  <c:v>243.0</c:v>
                </c:pt>
                <c:pt idx="3">
                  <c:v>265.0</c:v>
                </c:pt>
                <c:pt idx="4">
                  <c:v>298.0</c:v>
                </c:pt>
              </c:numCache>
            </c:numRef>
          </c:val>
          <c:smooth val="0"/>
        </c:ser>
        <c:dLbls>
          <c:showLegendKey val="0"/>
          <c:showVal val="0"/>
          <c:showCatName val="0"/>
          <c:showSerName val="0"/>
          <c:showPercent val="0"/>
          <c:showBubbleSize val="0"/>
        </c:dLbls>
        <c:marker val="1"/>
        <c:smooth val="0"/>
        <c:axId val="564714904"/>
        <c:axId val="564788840"/>
      </c:lineChart>
      <c:catAx>
        <c:axId val="564714904"/>
        <c:scaling>
          <c:orientation val="minMax"/>
        </c:scaling>
        <c:delete val="0"/>
        <c:axPos val="b"/>
        <c:title>
          <c:tx>
            <c:rich>
              <a:bodyPr/>
              <a:lstStyle/>
              <a:p>
                <a:pPr>
                  <a:defRPr/>
                </a:pPr>
                <a:r>
                  <a:rPr lang="en-US"/>
                  <a:t>Proton Number (z)</a:t>
                </a:r>
              </a:p>
            </c:rich>
          </c:tx>
          <c:layout/>
          <c:overlay val="0"/>
        </c:title>
        <c:numFmt formatCode="General" sourceLinked="1"/>
        <c:majorTickMark val="none"/>
        <c:minorTickMark val="none"/>
        <c:tickLblPos val="nextTo"/>
        <c:crossAx val="564788840"/>
        <c:crosses val="autoZero"/>
        <c:auto val="1"/>
        <c:lblAlgn val="ctr"/>
        <c:lblOffset val="100"/>
        <c:noMultiLvlLbl val="0"/>
      </c:catAx>
      <c:valAx>
        <c:axId val="564788840"/>
        <c:scaling>
          <c:orientation val="minMax"/>
        </c:scaling>
        <c:delete val="0"/>
        <c:axPos val="l"/>
        <c:majorGridlines/>
        <c:title>
          <c:tx>
            <c:rich>
              <a:bodyPr/>
              <a:lstStyle/>
              <a:p>
                <a:pPr>
                  <a:defRPr/>
                </a:pPr>
                <a:r>
                  <a:rPr lang="en-US"/>
                  <a:t>Atomic Radius (pm)</a:t>
                </a:r>
              </a:p>
            </c:rich>
          </c:tx>
          <c:layout/>
          <c:overlay val="0"/>
        </c:title>
        <c:numFmt formatCode="General" sourceLinked="1"/>
        <c:majorTickMark val="out"/>
        <c:minorTickMark val="none"/>
        <c:tickLblPos val="nextTo"/>
        <c:crossAx val="564714904"/>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First isonisation energy Vs. Proton Number</a:t>
            </a:r>
          </a:p>
        </c:rich>
      </c:tx>
      <c:layout/>
      <c:overlay val="0"/>
    </c:title>
    <c:autoTitleDeleted val="0"/>
    <c:plotArea>
      <c:layout/>
      <c:lineChart>
        <c:grouping val="standard"/>
        <c:varyColors val="0"/>
        <c:ser>
          <c:idx val="0"/>
          <c:order val="0"/>
          <c:tx>
            <c:strRef>
              <c:f>Sheet1!$B$1</c:f>
              <c:strCache>
                <c:ptCount val="1"/>
                <c:pt idx="0">
                  <c:v>Series 1</c:v>
                </c:pt>
              </c:strCache>
            </c:strRef>
          </c:tx>
          <c:cat>
            <c:numRef>
              <c:f>Sheet1!$A$2:$A$7</c:f>
              <c:numCache>
                <c:formatCode>General</c:formatCode>
                <c:ptCount val="6"/>
                <c:pt idx="0">
                  <c:v>3.0</c:v>
                </c:pt>
                <c:pt idx="1">
                  <c:v>4.0</c:v>
                </c:pt>
                <c:pt idx="2">
                  <c:v>5.0</c:v>
                </c:pt>
                <c:pt idx="3">
                  <c:v>6.0</c:v>
                </c:pt>
                <c:pt idx="4">
                  <c:v>7.0</c:v>
                </c:pt>
                <c:pt idx="5">
                  <c:v>8.0</c:v>
                </c:pt>
              </c:numCache>
            </c:numRef>
          </c:cat>
          <c:val>
            <c:numRef>
              <c:f>Sheet1!$B$2:$B$7</c:f>
              <c:numCache>
                <c:formatCode>General</c:formatCode>
                <c:ptCount val="6"/>
                <c:pt idx="0">
                  <c:v>520.0</c:v>
                </c:pt>
                <c:pt idx="1">
                  <c:v>900.0</c:v>
                </c:pt>
                <c:pt idx="2">
                  <c:v>801.0</c:v>
                </c:pt>
                <c:pt idx="3">
                  <c:v>1806.0</c:v>
                </c:pt>
                <c:pt idx="4">
                  <c:v>1402.0</c:v>
                </c:pt>
                <c:pt idx="5">
                  <c:v>1314.0</c:v>
                </c:pt>
              </c:numCache>
            </c:numRef>
          </c:val>
          <c:smooth val="0"/>
        </c:ser>
        <c:dLbls>
          <c:showLegendKey val="0"/>
          <c:showVal val="0"/>
          <c:showCatName val="0"/>
          <c:showSerName val="0"/>
          <c:showPercent val="0"/>
          <c:showBubbleSize val="0"/>
        </c:dLbls>
        <c:marker val="1"/>
        <c:smooth val="0"/>
        <c:axId val="586557640"/>
        <c:axId val="587098008"/>
      </c:lineChart>
      <c:catAx>
        <c:axId val="586557640"/>
        <c:scaling>
          <c:orientation val="minMax"/>
        </c:scaling>
        <c:delete val="0"/>
        <c:axPos val="b"/>
        <c:title>
          <c:tx>
            <c:rich>
              <a:bodyPr/>
              <a:lstStyle/>
              <a:p>
                <a:pPr>
                  <a:defRPr/>
                </a:pPr>
                <a:r>
                  <a:rPr lang="en-US"/>
                  <a:t>Proton Number (z)</a:t>
                </a:r>
              </a:p>
            </c:rich>
          </c:tx>
          <c:layout/>
          <c:overlay val="0"/>
        </c:title>
        <c:numFmt formatCode="General" sourceLinked="1"/>
        <c:majorTickMark val="none"/>
        <c:minorTickMark val="none"/>
        <c:tickLblPos val="nextTo"/>
        <c:crossAx val="587098008"/>
        <c:crosses val="autoZero"/>
        <c:auto val="1"/>
        <c:lblAlgn val="ctr"/>
        <c:lblOffset val="100"/>
        <c:noMultiLvlLbl val="0"/>
      </c:catAx>
      <c:valAx>
        <c:axId val="587098008"/>
        <c:scaling>
          <c:orientation val="minMax"/>
        </c:scaling>
        <c:delete val="0"/>
        <c:axPos val="l"/>
        <c:majorGridlines/>
        <c:title>
          <c:tx>
            <c:rich>
              <a:bodyPr/>
              <a:lstStyle/>
              <a:p>
                <a:pPr>
                  <a:defRPr/>
                </a:pPr>
                <a:r>
                  <a:rPr lang="en-US"/>
                  <a:t>First ionisation energy (kJmol-1)</a:t>
                </a:r>
              </a:p>
            </c:rich>
          </c:tx>
          <c:layout/>
          <c:overlay val="0"/>
        </c:title>
        <c:numFmt formatCode="General" sourceLinked="1"/>
        <c:majorTickMark val="out"/>
        <c:minorTickMark val="none"/>
        <c:tickLblPos val="nextTo"/>
        <c:crossAx val="586557640"/>
        <c:crosses val="autoZero"/>
        <c:crossBetween val="between"/>
      </c:valAx>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title>
      <c:tx>
        <c:rich>
          <a:bodyPr/>
          <a:lstStyle/>
          <a:p>
            <a:pPr>
              <a:defRPr/>
            </a:pPr>
            <a:r>
              <a:rPr lang="en-US"/>
              <a:t>Electronegativity Vs. Proton Number</a:t>
            </a:r>
          </a:p>
        </c:rich>
      </c:tx>
      <c:layout/>
      <c:overlay val="0"/>
    </c:title>
    <c:autoTitleDeleted val="0"/>
    <c:plotArea>
      <c:layout/>
      <c:lineChart>
        <c:grouping val="standard"/>
        <c:varyColors val="0"/>
        <c:ser>
          <c:idx val="0"/>
          <c:order val="0"/>
          <c:tx>
            <c:strRef>
              <c:f>Sheet1!$B$1</c:f>
              <c:strCache>
                <c:ptCount val="1"/>
                <c:pt idx="0">
                  <c:v>Series 1</c:v>
                </c:pt>
              </c:strCache>
            </c:strRef>
          </c:tx>
          <c:cat>
            <c:numRef>
              <c:f>Sheet1!$A$2:$A$9</c:f>
              <c:numCache>
                <c:formatCode>General</c:formatCode>
                <c:ptCount val="8"/>
                <c:pt idx="0">
                  <c:v>3.0</c:v>
                </c:pt>
                <c:pt idx="1">
                  <c:v>4.0</c:v>
                </c:pt>
                <c:pt idx="2">
                  <c:v>5.0</c:v>
                </c:pt>
                <c:pt idx="3">
                  <c:v>6.0</c:v>
                </c:pt>
                <c:pt idx="4">
                  <c:v>7.0</c:v>
                </c:pt>
                <c:pt idx="5">
                  <c:v>8.0</c:v>
                </c:pt>
                <c:pt idx="6">
                  <c:v>9.0</c:v>
                </c:pt>
                <c:pt idx="7">
                  <c:v>10.0</c:v>
                </c:pt>
              </c:numCache>
            </c:numRef>
          </c:cat>
          <c:val>
            <c:numRef>
              <c:f>Sheet1!$B$2:$B$9</c:f>
              <c:numCache>
                <c:formatCode>General</c:formatCode>
                <c:ptCount val="8"/>
                <c:pt idx="0">
                  <c:v>0.98</c:v>
                </c:pt>
                <c:pt idx="1">
                  <c:v>1.57</c:v>
                </c:pt>
                <c:pt idx="2">
                  <c:v>2.04</c:v>
                </c:pt>
                <c:pt idx="3">
                  <c:v>2.55</c:v>
                </c:pt>
                <c:pt idx="4">
                  <c:v>3.04</c:v>
                </c:pt>
                <c:pt idx="5">
                  <c:v>3.44</c:v>
                </c:pt>
                <c:pt idx="6">
                  <c:v>3.98</c:v>
                </c:pt>
                <c:pt idx="7">
                  <c:v>0.0</c:v>
                </c:pt>
              </c:numCache>
            </c:numRef>
          </c:val>
          <c:smooth val="0"/>
        </c:ser>
        <c:dLbls>
          <c:showLegendKey val="0"/>
          <c:showVal val="0"/>
          <c:showCatName val="0"/>
          <c:showSerName val="0"/>
          <c:showPercent val="0"/>
          <c:showBubbleSize val="0"/>
        </c:dLbls>
        <c:marker val="1"/>
        <c:smooth val="0"/>
        <c:axId val="587183736"/>
        <c:axId val="664511816"/>
      </c:lineChart>
      <c:catAx>
        <c:axId val="587183736"/>
        <c:scaling>
          <c:orientation val="minMax"/>
        </c:scaling>
        <c:delete val="0"/>
        <c:axPos val="b"/>
        <c:title>
          <c:tx>
            <c:rich>
              <a:bodyPr/>
              <a:lstStyle/>
              <a:p>
                <a:pPr>
                  <a:defRPr/>
                </a:pPr>
                <a:r>
                  <a:rPr lang="en-US"/>
                  <a:t>Proton Number (z)</a:t>
                </a:r>
              </a:p>
            </c:rich>
          </c:tx>
          <c:layout/>
          <c:overlay val="0"/>
        </c:title>
        <c:numFmt formatCode="General" sourceLinked="1"/>
        <c:majorTickMark val="none"/>
        <c:minorTickMark val="none"/>
        <c:tickLblPos val="nextTo"/>
        <c:crossAx val="664511816"/>
        <c:crosses val="autoZero"/>
        <c:auto val="1"/>
        <c:lblAlgn val="ctr"/>
        <c:lblOffset val="100"/>
        <c:noMultiLvlLbl val="0"/>
      </c:catAx>
      <c:valAx>
        <c:axId val="664511816"/>
        <c:scaling>
          <c:orientation val="minMax"/>
        </c:scaling>
        <c:delete val="0"/>
        <c:axPos val="l"/>
        <c:majorGridlines/>
        <c:title>
          <c:tx>
            <c:rich>
              <a:bodyPr/>
              <a:lstStyle/>
              <a:p>
                <a:pPr>
                  <a:defRPr/>
                </a:pPr>
                <a:r>
                  <a:rPr lang="en-US"/>
                  <a:t>Electronegativity (Pauling)</a:t>
                </a:r>
              </a:p>
            </c:rich>
          </c:tx>
          <c:layout/>
          <c:overlay val="0"/>
        </c:title>
        <c:numFmt formatCode="General" sourceLinked="1"/>
        <c:majorTickMark val="out"/>
        <c:minorTickMark val="none"/>
        <c:tickLblPos val="nextTo"/>
        <c:crossAx val="587183736"/>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461</Words>
  <Characters>2628</Characters>
  <Application>Microsoft Macintosh Word</Application>
  <DocSecurity>0</DocSecurity>
  <Lines>21</Lines>
  <Paragraphs>6</Paragraphs>
  <ScaleCrop>false</ScaleCrop>
  <Company>Atwell College</Company>
  <LinksUpToDate>false</LinksUpToDate>
  <CharactersWithSpaces>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2012-02-23T01:21:00Z</dcterms:created>
  <dcterms:modified xsi:type="dcterms:W3CDTF">2012-02-23T02:52:00Z</dcterms:modified>
</cp:coreProperties>
</file>